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281" w:rsidRPr="00CE4515" w:rsidRDefault="00977281" w:rsidP="00977281">
      <w:pPr>
        <w:spacing w:after="0"/>
        <w:rPr>
          <w:b/>
          <w:sz w:val="24"/>
          <w:szCs w:val="24"/>
        </w:rPr>
      </w:pPr>
      <w:r w:rsidRPr="00CE4515">
        <w:rPr>
          <w:b/>
          <w:sz w:val="24"/>
          <w:szCs w:val="24"/>
        </w:rPr>
        <w:t>Bay Forest Senior Apartments</w:t>
      </w:r>
    </w:p>
    <w:p w:rsidR="00977281" w:rsidRPr="00CE4515" w:rsidRDefault="00977281" w:rsidP="00977281">
      <w:pPr>
        <w:spacing w:after="0"/>
        <w:rPr>
          <w:b/>
          <w:sz w:val="24"/>
          <w:szCs w:val="24"/>
        </w:rPr>
      </w:pPr>
      <w:r w:rsidRPr="00CE4515">
        <w:rPr>
          <w:b/>
          <w:sz w:val="24"/>
          <w:szCs w:val="24"/>
        </w:rPr>
        <w:t>Annapolis, Maryland</w:t>
      </w:r>
    </w:p>
    <w:p w:rsidR="00977281" w:rsidRPr="00CE4515" w:rsidRDefault="00977281" w:rsidP="00977281">
      <w:pPr>
        <w:spacing w:after="0"/>
        <w:rPr>
          <w:sz w:val="24"/>
          <w:szCs w:val="24"/>
        </w:rPr>
      </w:pPr>
    </w:p>
    <w:p w:rsidR="00977281" w:rsidRPr="00CE4515" w:rsidRDefault="00977281" w:rsidP="00977281">
      <w:pPr>
        <w:spacing w:after="0"/>
        <w:rPr>
          <w:sz w:val="24"/>
          <w:szCs w:val="24"/>
        </w:rPr>
      </w:pPr>
      <w:r w:rsidRPr="00CE4515">
        <w:rPr>
          <w:sz w:val="24"/>
          <w:szCs w:val="24"/>
        </w:rPr>
        <w:t xml:space="preserve">This case study is an example of a negotiated early (year 12) </w:t>
      </w:r>
      <w:r>
        <w:rPr>
          <w:sz w:val="24"/>
          <w:szCs w:val="24"/>
        </w:rPr>
        <w:t xml:space="preserve">buy-out of a limited partner and co-general partner by </w:t>
      </w:r>
      <w:r w:rsidRPr="00CE4515">
        <w:rPr>
          <w:sz w:val="24"/>
          <w:szCs w:val="24"/>
        </w:rPr>
        <w:t>refinancing</w:t>
      </w:r>
      <w:r>
        <w:rPr>
          <w:sz w:val="24"/>
          <w:szCs w:val="24"/>
        </w:rPr>
        <w:t>.</w:t>
      </w:r>
    </w:p>
    <w:p w:rsidR="00977281" w:rsidRPr="00CE4515" w:rsidRDefault="00977281" w:rsidP="00977281">
      <w:pPr>
        <w:spacing w:after="0"/>
        <w:rPr>
          <w:sz w:val="24"/>
          <w:szCs w:val="24"/>
        </w:rPr>
      </w:pPr>
    </w:p>
    <w:p w:rsidR="00977281" w:rsidRPr="00CE4515" w:rsidRDefault="00977281" w:rsidP="00977281">
      <w:pPr>
        <w:spacing w:after="0"/>
        <w:rPr>
          <w:sz w:val="24"/>
          <w:szCs w:val="24"/>
        </w:rPr>
      </w:pPr>
      <w:r w:rsidRPr="00CE4515">
        <w:rPr>
          <w:b/>
          <w:sz w:val="24"/>
          <w:szCs w:val="24"/>
        </w:rPr>
        <w:t>Property Description</w:t>
      </w:r>
    </w:p>
    <w:p w:rsidR="00977281" w:rsidRPr="00CE4515" w:rsidRDefault="00977281" w:rsidP="00977281">
      <w:pPr>
        <w:spacing w:after="0"/>
        <w:rPr>
          <w:sz w:val="24"/>
          <w:szCs w:val="24"/>
        </w:rPr>
      </w:pPr>
    </w:p>
    <w:p w:rsidR="00977281" w:rsidRPr="00CE4515" w:rsidRDefault="00977281" w:rsidP="00977281">
      <w:pPr>
        <w:spacing w:after="0"/>
        <w:rPr>
          <w:sz w:val="24"/>
          <w:szCs w:val="24"/>
        </w:rPr>
      </w:pPr>
      <w:r>
        <w:rPr>
          <w:sz w:val="24"/>
          <w:szCs w:val="24"/>
        </w:rPr>
        <w:t xml:space="preserve">Three </w:t>
      </w:r>
      <w:proofErr w:type="gramStart"/>
      <w:r>
        <w:rPr>
          <w:sz w:val="24"/>
          <w:szCs w:val="24"/>
        </w:rPr>
        <w:t>story</w:t>
      </w:r>
      <w:proofErr w:type="gramEnd"/>
      <w:r>
        <w:rPr>
          <w:sz w:val="24"/>
          <w:szCs w:val="24"/>
        </w:rPr>
        <w:t xml:space="preserve"> building in Annapolis, Maryland </w:t>
      </w:r>
      <w:r w:rsidRPr="00CE4515">
        <w:rPr>
          <w:sz w:val="24"/>
          <w:szCs w:val="24"/>
        </w:rPr>
        <w:t>with 120 units in two adjacent buildings</w:t>
      </w:r>
      <w:r>
        <w:rPr>
          <w:sz w:val="24"/>
          <w:szCs w:val="24"/>
        </w:rPr>
        <w:t xml:space="preserve"> constructed in 1998</w:t>
      </w:r>
      <w:r w:rsidRPr="00CE4515">
        <w:rPr>
          <w:sz w:val="24"/>
          <w:szCs w:val="24"/>
        </w:rPr>
        <w:t>.  The property is occupied by senior citizens aged 62 years and older</w:t>
      </w:r>
      <w:r>
        <w:rPr>
          <w:sz w:val="24"/>
          <w:szCs w:val="24"/>
        </w:rPr>
        <w:t xml:space="preserve">.  It was originally </w:t>
      </w:r>
      <w:r w:rsidRPr="00CE4515">
        <w:rPr>
          <w:sz w:val="24"/>
          <w:szCs w:val="24"/>
        </w:rPr>
        <w:t xml:space="preserve">financed with 9% LIHTC, a GSE first mortgage, and local CDBG </w:t>
      </w:r>
      <w:r>
        <w:rPr>
          <w:sz w:val="24"/>
          <w:szCs w:val="24"/>
        </w:rPr>
        <w:t xml:space="preserve">from Annapolis </w:t>
      </w:r>
      <w:r w:rsidRPr="00CE4515">
        <w:rPr>
          <w:sz w:val="24"/>
          <w:szCs w:val="24"/>
        </w:rPr>
        <w:t>and HOME funds</w:t>
      </w:r>
      <w:r>
        <w:rPr>
          <w:sz w:val="24"/>
          <w:szCs w:val="24"/>
        </w:rPr>
        <w:t xml:space="preserve"> from Anne Arundel County</w:t>
      </w:r>
      <w:r w:rsidRPr="00CE4515">
        <w:rPr>
          <w:sz w:val="24"/>
          <w:szCs w:val="24"/>
        </w:rPr>
        <w:t>.   The property performed well over the years and was in very good condition.  A recapitalization was not really needed and the capital needs assessment identified minimal required repairs which were easily addressed with operating funds.</w:t>
      </w:r>
    </w:p>
    <w:p w:rsidR="00977281" w:rsidRPr="00CE4515" w:rsidRDefault="00977281" w:rsidP="00977281">
      <w:pPr>
        <w:spacing w:after="0"/>
        <w:rPr>
          <w:sz w:val="24"/>
          <w:szCs w:val="24"/>
        </w:rPr>
      </w:pPr>
    </w:p>
    <w:p w:rsidR="00977281" w:rsidRPr="00CE4515" w:rsidRDefault="00977281" w:rsidP="00977281">
      <w:pPr>
        <w:spacing w:after="0"/>
        <w:rPr>
          <w:sz w:val="24"/>
          <w:szCs w:val="24"/>
        </w:rPr>
      </w:pPr>
      <w:r w:rsidRPr="00CE4515">
        <w:rPr>
          <w:b/>
          <w:sz w:val="24"/>
          <w:szCs w:val="24"/>
        </w:rPr>
        <w:t>Ownership Structure</w:t>
      </w:r>
    </w:p>
    <w:p w:rsidR="00977281" w:rsidRPr="00CE4515" w:rsidRDefault="00977281" w:rsidP="00977281">
      <w:pPr>
        <w:pStyle w:val="ListParagraph"/>
        <w:numPr>
          <w:ilvl w:val="0"/>
          <w:numId w:val="1"/>
        </w:numPr>
        <w:spacing w:after="0"/>
        <w:rPr>
          <w:sz w:val="24"/>
          <w:szCs w:val="24"/>
        </w:rPr>
      </w:pPr>
      <w:r w:rsidRPr="00CE4515">
        <w:rPr>
          <w:sz w:val="24"/>
          <w:szCs w:val="24"/>
        </w:rPr>
        <w:t xml:space="preserve">General Partner was a joint venture between </w:t>
      </w:r>
      <w:r>
        <w:rPr>
          <w:sz w:val="24"/>
          <w:szCs w:val="24"/>
        </w:rPr>
        <w:t>a for profit entity (49%) and HFA, a nonprofit organization</w:t>
      </w:r>
      <w:r w:rsidRPr="00CE4515">
        <w:rPr>
          <w:sz w:val="24"/>
          <w:szCs w:val="24"/>
        </w:rPr>
        <w:t xml:space="preserve"> (51%)</w:t>
      </w:r>
    </w:p>
    <w:p w:rsidR="00977281" w:rsidRPr="00CE4515" w:rsidRDefault="00977281" w:rsidP="00977281">
      <w:pPr>
        <w:pStyle w:val="ListParagraph"/>
        <w:numPr>
          <w:ilvl w:val="0"/>
          <w:numId w:val="1"/>
        </w:numPr>
        <w:spacing w:after="0"/>
        <w:rPr>
          <w:sz w:val="24"/>
          <w:szCs w:val="24"/>
        </w:rPr>
      </w:pPr>
      <w:r w:rsidRPr="00CE4515">
        <w:rPr>
          <w:sz w:val="24"/>
          <w:szCs w:val="24"/>
        </w:rPr>
        <w:t>Syndicator was a national for profit syndication firm</w:t>
      </w:r>
    </w:p>
    <w:p w:rsidR="00977281" w:rsidRPr="00CE4515" w:rsidRDefault="00977281" w:rsidP="00977281">
      <w:pPr>
        <w:pStyle w:val="ListParagraph"/>
        <w:numPr>
          <w:ilvl w:val="0"/>
          <w:numId w:val="1"/>
        </w:numPr>
        <w:spacing w:after="0"/>
        <w:rPr>
          <w:sz w:val="24"/>
          <w:szCs w:val="24"/>
        </w:rPr>
      </w:pPr>
      <w:r w:rsidRPr="00CE4515">
        <w:rPr>
          <w:sz w:val="24"/>
          <w:szCs w:val="24"/>
        </w:rPr>
        <w:t>The nonprofit organization did not have a Right of First Refusal</w:t>
      </w:r>
    </w:p>
    <w:p w:rsidR="00977281" w:rsidRPr="00CE4515" w:rsidRDefault="00977281" w:rsidP="00977281">
      <w:pPr>
        <w:pStyle w:val="ListParagraph"/>
        <w:numPr>
          <w:ilvl w:val="0"/>
          <w:numId w:val="1"/>
        </w:numPr>
        <w:spacing w:after="0"/>
        <w:rPr>
          <w:sz w:val="24"/>
          <w:szCs w:val="24"/>
        </w:rPr>
      </w:pPr>
      <w:r w:rsidRPr="00CE4515">
        <w:rPr>
          <w:sz w:val="24"/>
          <w:szCs w:val="24"/>
        </w:rPr>
        <w:t>The investor had the right to require a sale after year 15</w:t>
      </w:r>
    </w:p>
    <w:p w:rsidR="00977281" w:rsidRPr="00CE4515" w:rsidRDefault="00977281" w:rsidP="00977281">
      <w:pPr>
        <w:spacing w:after="0"/>
        <w:rPr>
          <w:sz w:val="24"/>
          <w:szCs w:val="24"/>
        </w:rPr>
      </w:pPr>
    </w:p>
    <w:p w:rsidR="00977281" w:rsidRPr="00CE4515" w:rsidRDefault="00977281" w:rsidP="00977281">
      <w:pPr>
        <w:spacing w:after="0"/>
        <w:rPr>
          <w:sz w:val="24"/>
          <w:szCs w:val="24"/>
        </w:rPr>
      </w:pPr>
      <w:r w:rsidRPr="00CE4515">
        <w:rPr>
          <w:b/>
          <w:sz w:val="24"/>
          <w:szCs w:val="24"/>
        </w:rPr>
        <w:t>Operating and Financial Information</w:t>
      </w:r>
    </w:p>
    <w:p w:rsidR="00977281" w:rsidRPr="00CE4515" w:rsidRDefault="00977281" w:rsidP="00977281">
      <w:pPr>
        <w:spacing w:after="0"/>
        <w:rPr>
          <w:sz w:val="24"/>
          <w:szCs w:val="24"/>
        </w:rPr>
      </w:pPr>
    </w:p>
    <w:p w:rsidR="00977281" w:rsidRPr="00CE4515" w:rsidRDefault="00977281" w:rsidP="00977281">
      <w:pPr>
        <w:spacing w:after="0"/>
        <w:rPr>
          <w:sz w:val="24"/>
          <w:szCs w:val="24"/>
        </w:rPr>
      </w:pPr>
      <w:r w:rsidRPr="00CE4515">
        <w:rPr>
          <w:sz w:val="24"/>
          <w:szCs w:val="24"/>
        </w:rPr>
        <w:t>Constructed:</w:t>
      </w:r>
      <w:r w:rsidRPr="00CE4515">
        <w:rPr>
          <w:sz w:val="24"/>
          <w:szCs w:val="24"/>
        </w:rPr>
        <w:tab/>
      </w:r>
      <w:r w:rsidRPr="00CE4515">
        <w:rPr>
          <w:sz w:val="24"/>
          <w:szCs w:val="24"/>
        </w:rPr>
        <w:tab/>
        <w:t>1997-1998</w:t>
      </w:r>
    </w:p>
    <w:p w:rsidR="00977281" w:rsidRPr="00CE4515" w:rsidRDefault="00977281" w:rsidP="00977281">
      <w:pPr>
        <w:spacing w:after="0"/>
        <w:rPr>
          <w:sz w:val="24"/>
          <w:szCs w:val="24"/>
        </w:rPr>
      </w:pPr>
      <w:r w:rsidRPr="00CE4515">
        <w:rPr>
          <w:sz w:val="24"/>
          <w:szCs w:val="24"/>
        </w:rPr>
        <w:t>Placed In Service:</w:t>
      </w:r>
      <w:r w:rsidRPr="00CE4515">
        <w:rPr>
          <w:sz w:val="24"/>
          <w:szCs w:val="24"/>
        </w:rPr>
        <w:tab/>
        <w:t>Spring 1998</w:t>
      </w:r>
    </w:p>
    <w:p w:rsidR="00977281" w:rsidRPr="00CE4515" w:rsidRDefault="00977281" w:rsidP="00977281">
      <w:pPr>
        <w:spacing w:after="0"/>
        <w:rPr>
          <w:sz w:val="24"/>
          <w:szCs w:val="24"/>
        </w:rPr>
      </w:pPr>
      <w:r w:rsidRPr="00CE4515">
        <w:rPr>
          <w:sz w:val="24"/>
          <w:szCs w:val="24"/>
        </w:rPr>
        <w:t>Financing:</w:t>
      </w:r>
      <w:r w:rsidRPr="00CE4515">
        <w:rPr>
          <w:sz w:val="24"/>
          <w:szCs w:val="24"/>
        </w:rPr>
        <w:tab/>
      </w:r>
      <w:r w:rsidRPr="00CE4515">
        <w:rPr>
          <w:sz w:val="24"/>
          <w:szCs w:val="24"/>
        </w:rPr>
        <w:tab/>
        <w:t>GSE first mortgage with 10 year lock out and yield maintenance penalty</w:t>
      </w:r>
    </w:p>
    <w:p w:rsidR="00977281" w:rsidRPr="00CE4515" w:rsidRDefault="00977281" w:rsidP="00977281">
      <w:pPr>
        <w:spacing w:after="0"/>
        <w:rPr>
          <w:sz w:val="24"/>
          <w:szCs w:val="24"/>
        </w:rPr>
      </w:pPr>
      <w:r w:rsidRPr="00CE4515">
        <w:rPr>
          <w:sz w:val="24"/>
          <w:szCs w:val="24"/>
        </w:rPr>
        <w:t>Original Sources:</w:t>
      </w:r>
    </w:p>
    <w:p w:rsidR="00977281" w:rsidRPr="00CE4515" w:rsidRDefault="00977281" w:rsidP="00977281">
      <w:pPr>
        <w:spacing w:after="0"/>
        <w:rPr>
          <w:sz w:val="24"/>
          <w:szCs w:val="24"/>
        </w:rPr>
      </w:pPr>
      <w:r>
        <w:rPr>
          <w:sz w:val="24"/>
          <w:szCs w:val="24"/>
        </w:rPr>
        <w:t>FNMA</w:t>
      </w:r>
      <w:r w:rsidRPr="00CE4515">
        <w:rPr>
          <w:sz w:val="24"/>
          <w:szCs w:val="24"/>
        </w:rPr>
        <w:t xml:space="preserve"> 1</w:t>
      </w:r>
      <w:r w:rsidRPr="00CE4515">
        <w:rPr>
          <w:sz w:val="24"/>
          <w:szCs w:val="24"/>
          <w:vertAlign w:val="superscript"/>
        </w:rPr>
        <w:t>st</w:t>
      </w:r>
      <w:r w:rsidRPr="00CE4515">
        <w:rPr>
          <w:sz w:val="24"/>
          <w:szCs w:val="24"/>
        </w:rPr>
        <w:t xml:space="preserve"> Mortgage</w:t>
      </w:r>
      <w:r w:rsidRPr="00CE4515">
        <w:rPr>
          <w:sz w:val="24"/>
          <w:szCs w:val="24"/>
        </w:rPr>
        <w:tab/>
      </w:r>
      <w:r w:rsidRPr="00CE4515">
        <w:rPr>
          <w:sz w:val="24"/>
          <w:szCs w:val="24"/>
        </w:rPr>
        <w:tab/>
      </w:r>
      <w:r w:rsidRPr="00CE4515">
        <w:rPr>
          <w:sz w:val="24"/>
          <w:szCs w:val="24"/>
        </w:rPr>
        <w:tab/>
        <w:t xml:space="preserve">$4,886,000 </w:t>
      </w:r>
      <w:r>
        <w:rPr>
          <w:sz w:val="24"/>
          <w:szCs w:val="24"/>
        </w:rPr>
        <w:t xml:space="preserve">   Rate:  </w:t>
      </w:r>
      <w:r w:rsidRPr="00CE4515">
        <w:rPr>
          <w:sz w:val="24"/>
          <w:szCs w:val="24"/>
        </w:rPr>
        <w:t xml:space="preserve">9.0% </w:t>
      </w:r>
      <w:r>
        <w:rPr>
          <w:sz w:val="24"/>
          <w:szCs w:val="24"/>
        </w:rPr>
        <w:t xml:space="preserve">Term: </w:t>
      </w:r>
      <w:r w:rsidRPr="00CE4515">
        <w:rPr>
          <w:sz w:val="24"/>
          <w:szCs w:val="24"/>
        </w:rPr>
        <w:t xml:space="preserve">10 </w:t>
      </w:r>
      <w:r>
        <w:rPr>
          <w:sz w:val="24"/>
          <w:szCs w:val="24"/>
        </w:rPr>
        <w:t xml:space="preserve">yrs.  </w:t>
      </w:r>
      <w:proofErr w:type="spellStart"/>
      <w:r>
        <w:rPr>
          <w:sz w:val="24"/>
          <w:szCs w:val="24"/>
        </w:rPr>
        <w:t>Amort</w:t>
      </w:r>
      <w:proofErr w:type="spellEnd"/>
      <w:r>
        <w:rPr>
          <w:sz w:val="24"/>
          <w:szCs w:val="24"/>
        </w:rPr>
        <w:t>: 30 yrs.</w:t>
      </w:r>
    </w:p>
    <w:p w:rsidR="00977281" w:rsidRPr="00CE4515" w:rsidRDefault="00977281" w:rsidP="00977281">
      <w:pPr>
        <w:spacing w:after="0"/>
        <w:rPr>
          <w:sz w:val="24"/>
          <w:szCs w:val="24"/>
        </w:rPr>
      </w:pPr>
      <w:r w:rsidRPr="00CE4515">
        <w:rPr>
          <w:sz w:val="24"/>
          <w:szCs w:val="24"/>
        </w:rPr>
        <w:t>Home – 2</w:t>
      </w:r>
      <w:r w:rsidRPr="00CE4515">
        <w:rPr>
          <w:sz w:val="24"/>
          <w:szCs w:val="24"/>
          <w:vertAlign w:val="superscript"/>
        </w:rPr>
        <w:t>nd</w:t>
      </w:r>
      <w:r w:rsidRPr="00CE4515">
        <w:rPr>
          <w:sz w:val="24"/>
          <w:szCs w:val="24"/>
        </w:rPr>
        <w:t xml:space="preserve"> Mortgage</w:t>
      </w:r>
      <w:r w:rsidRPr="00CE4515">
        <w:rPr>
          <w:sz w:val="24"/>
          <w:szCs w:val="24"/>
        </w:rPr>
        <w:tab/>
      </w:r>
      <w:r w:rsidRPr="00CE4515">
        <w:rPr>
          <w:sz w:val="24"/>
          <w:szCs w:val="24"/>
        </w:rPr>
        <w:tab/>
      </w:r>
      <w:r w:rsidRPr="00CE4515">
        <w:rPr>
          <w:sz w:val="24"/>
          <w:szCs w:val="24"/>
        </w:rPr>
        <w:tab/>
        <w:t>$   986,790</w:t>
      </w:r>
      <w:r>
        <w:rPr>
          <w:sz w:val="24"/>
          <w:szCs w:val="24"/>
        </w:rPr>
        <w:t xml:space="preserve">    Rate:  2.0</w:t>
      </w:r>
      <w:proofErr w:type="gramStart"/>
      <w:r>
        <w:rPr>
          <w:sz w:val="24"/>
          <w:szCs w:val="24"/>
        </w:rPr>
        <w:t>%  Term</w:t>
      </w:r>
      <w:proofErr w:type="gramEnd"/>
      <w:r>
        <w:rPr>
          <w:sz w:val="24"/>
          <w:szCs w:val="24"/>
        </w:rPr>
        <w:t>: 30 yrs.  Surplus Cash repay</w:t>
      </w:r>
    </w:p>
    <w:p w:rsidR="00977281" w:rsidRPr="00CE4515" w:rsidRDefault="00977281" w:rsidP="00977281">
      <w:pPr>
        <w:spacing w:after="0"/>
        <w:rPr>
          <w:sz w:val="24"/>
          <w:szCs w:val="24"/>
        </w:rPr>
      </w:pPr>
      <w:r w:rsidRPr="00CE4515">
        <w:rPr>
          <w:sz w:val="24"/>
          <w:szCs w:val="24"/>
        </w:rPr>
        <w:t>CDBG – 3</w:t>
      </w:r>
      <w:r w:rsidRPr="00CE4515">
        <w:rPr>
          <w:sz w:val="24"/>
          <w:szCs w:val="24"/>
          <w:vertAlign w:val="superscript"/>
        </w:rPr>
        <w:t>rd</w:t>
      </w:r>
      <w:r w:rsidRPr="00CE4515">
        <w:rPr>
          <w:sz w:val="24"/>
          <w:szCs w:val="24"/>
        </w:rPr>
        <w:t xml:space="preserve"> Mortgage</w:t>
      </w:r>
      <w:r w:rsidRPr="00CE4515">
        <w:rPr>
          <w:sz w:val="24"/>
          <w:szCs w:val="24"/>
        </w:rPr>
        <w:tab/>
      </w:r>
      <w:r w:rsidRPr="00CE4515">
        <w:rPr>
          <w:sz w:val="24"/>
          <w:szCs w:val="24"/>
        </w:rPr>
        <w:tab/>
      </w:r>
      <w:r w:rsidRPr="00CE4515">
        <w:rPr>
          <w:sz w:val="24"/>
          <w:szCs w:val="24"/>
        </w:rPr>
        <w:tab/>
        <w:t>$   200,000</w:t>
      </w:r>
      <w:r>
        <w:rPr>
          <w:sz w:val="24"/>
          <w:szCs w:val="24"/>
        </w:rPr>
        <w:t xml:space="preserve">    Rate:  1.0</w:t>
      </w:r>
      <w:proofErr w:type="gramStart"/>
      <w:r>
        <w:rPr>
          <w:sz w:val="24"/>
          <w:szCs w:val="24"/>
        </w:rPr>
        <w:t>%  Term</w:t>
      </w:r>
      <w:proofErr w:type="gramEnd"/>
      <w:r>
        <w:rPr>
          <w:sz w:val="24"/>
          <w:szCs w:val="24"/>
        </w:rPr>
        <w:t>:  30 yrs.  Totally deferred</w:t>
      </w:r>
    </w:p>
    <w:p w:rsidR="00977281" w:rsidRPr="00CE4515" w:rsidRDefault="00977281" w:rsidP="00977281">
      <w:pPr>
        <w:spacing w:after="0"/>
        <w:rPr>
          <w:sz w:val="24"/>
          <w:szCs w:val="24"/>
        </w:rPr>
      </w:pPr>
      <w:r w:rsidRPr="00CE4515">
        <w:rPr>
          <w:sz w:val="24"/>
          <w:szCs w:val="24"/>
        </w:rPr>
        <w:t>Equity- LP &amp; GP</w:t>
      </w:r>
      <w:r>
        <w:rPr>
          <w:sz w:val="24"/>
          <w:szCs w:val="24"/>
        </w:rPr>
        <w:tab/>
      </w:r>
      <w:r>
        <w:rPr>
          <w:sz w:val="24"/>
          <w:szCs w:val="24"/>
        </w:rPr>
        <w:tab/>
      </w:r>
      <w:r>
        <w:rPr>
          <w:sz w:val="24"/>
          <w:szCs w:val="24"/>
        </w:rPr>
        <w:tab/>
      </w:r>
      <w:r w:rsidRPr="00CE4515">
        <w:rPr>
          <w:sz w:val="24"/>
          <w:szCs w:val="24"/>
          <w:u w:val="single"/>
        </w:rPr>
        <w:t>$4,186,947</w:t>
      </w:r>
    </w:p>
    <w:p w:rsidR="00977281" w:rsidRPr="00CE4515" w:rsidRDefault="00977281" w:rsidP="00977281">
      <w:pPr>
        <w:spacing w:after="0"/>
        <w:rPr>
          <w:sz w:val="24"/>
          <w:szCs w:val="24"/>
        </w:rPr>
      </w:pPr>
      <w:r w:rsidRPr="00CE4515">
        <w:rPr>
          <w:sz w:val="24"/>
          <w:szCs w:val="24"/>
        </w:rPr>
        <w:t>Total</w:t>
      </w:r>
      <w:r w:rsidRPr="00CE4515">
        <w:rPr>
          <w:sz w:val="24"/>
          <w:szCs w:val="24"/>
        </w:rPr>
        <w:tab/>
      </w:r>
      <w:r w:rsidRPr="00CE4515">
        <w:rPr>
          <w:sz w:val="24"/>
          <w:szCs w:val="24"/>
        </w:rPr>
        <w:tab/>
      </w:r>
      <w:r w:rsidRPr="00CE4515">
        <w:rPr>
          <w:sz w:val="24"/>
          <w:szCs w:val="24"/>
        </w:rPr>
        <w:tab/>
      </w:r>
      <w:r w:rsidRPr="00CE4515">
        <w:rPr>
          <w:sz w:val="24"/>
          <w:szCs w:val="24"/>
        </w:rPr>
        <w:tab/>
      </w:r>
      <w:r w:rsidRPr="00CE4515">
        <w:rPr>
          <w:sz w:val="24"/>
          <w:szCs w:val="24"/>
        </w:rPr>
        <w:tab/>
        <w:t>$9,260,237</w:t>
      </w:r>
    </w:p>
    <w:p w:rsidR="00977281" w:rsidRDefault="00977281" w:rsidP="00977281">
      <w:pPr>
        <w:rPr>
          <w:sz w:val="24"/>
          <w:szCs w:val="24"/>
        </w:rPr>
      </w:pPr>
      <w:r>
        <w:rPr>
          <w:sz w:val="24"/>
          <w:szCs w:val="24"/>
        </w:rPr>
        <w:br w:type="page"/>
      </w:r>
    </w:p>
    <w:p w:rsidR="00977281" w:rsidRPr="00CE4515" w:rsidRDefault="00977281" w:rsidP="00977281">
      <w:pPr>
        <w:spacing w:after="0"/>
        <w:rPr>
          <w:sz w:val="24"/>
          <w:szCs w:val="24"/>
        </w:rPr>
      </w:pPr>
      <w:r w:rsidRPr="00CE4515">
        <w:rPr>
          <w:sz w:val="24"/>
          <w:szCs w:val="24"/>
        </w:rPr>
        <w:lastRenderedPageBreak/>
        <w:t>Operating History:</w:t>
      </w:r>
      <w:r w:rsidRPr="00CE4515">
        <w:rPr>
          <w:sz w:val="24"/>
          <w:szCs w:val="24"/>
        </w:rPr>
        <w:tab/>
        <w:t>The property had a slow lease up and the for-profit general partner made near</w:t>
      </w:r>
      <w:r>
        <w:rPr>
          <w:sz w:val="24"/>
          <w:szCs w:val="24"/>
        </w:rPr>
        <w:t>ly $5</w:t>
      </w:r>
      <w:r w:rsidRPr="00CE4515">
        <w:rPr>
          <w:sz w:val="24"/>
          <w:szCs w:val="24"/>
        </w:rPr>
        <w:t>00,000 in capital contributions through stabilization.  The property performed well after stabilization and was current in payments on all the subordinate loans and syndicator asset management fees.  The reserve for replacement had a balance of $190,000.  The property did not have an operating reserve.</w:t>
      </w:r>
    </w:p>
    <w:p w:rsidR="00977281" w:rsidRPr="00CE4515" w:rsidRDefault="00977281" w:rsidP="00977281">
      <w:pPr>
        <w:spacing w:after="0"/>
        <w:rPr>
          <w:sz w:val="24"/>
          <w:szCs w:val="24"/>
        </w:rPr>
      </w:pPr>
    </w:p>
    <w:p w:rsidR="00977281" w:rsidRPr="00CE4515" w:rsidRDefault="00977281" w:rsidP="00977281">
      <w:pPr>
        <w:spacing w:after="0"/>
        <w:rPr>
          <w:sz w:val="24"/>
          <w:szCs w:val="24"/>
        </w:rPr>
      </w:pPr>
      <w:r>
        <w:rPr>
          <w:sz w:val="24"/>
          <w:szCs w:val="24"/>
        </w:rPr>
        <w:t xml:space="preserve">Physical Condition:  2010 and 2011 </w:t>
      </w:r>
      <w:r w:rsidRPr="00CE4515">
        <w:rPr>
          <w:sz w:val="24"/>
          <w:szCs w:val="24"/>
        </w:rPr>
        <w:t xml:space="preserve">improvements to parking lot </w:t>
      </w:r>
      <w:r>
        <w:rPr>
          <w:sz w:val="24"/>
          <w:szCs w:val="24"/>
        </w:rPr>
        <w:t xml:space="preserve">and interior </w:t>
      </w:r>
      <w:r w:rsidRPr="00CE4515">
        <w:rPr>
          <w:sz w:val="24"/>
          <w:szCs w:val="24"/>
        </w:rPr>
        <w:t xml:space="preserve">lighting and accessibility upgrades had been made with proceeds of a CDBG grant </w:t>
      </w:r>
      <w:r>
        <w:rPr>
          <w:sz w:val="24"/>
          <w:szCs w:val="24"/>
        </w:rPr>
        <w:t xml:space="preserve">and a Maryland DHCD energy grant </w:t>
      </w:r>
      <w:r w:rsidRPr="00CE4515">
        <w:rPr>
          <w:sz w:val="24"/>
          <w:szCs w:val="24"/>
        </w:rPr>
        <w:t>to the nonprofit general partner.  A capital needs assessment identified only a few minor repairs in conjunction with a refinancing.</w:t>
      </w:r>
    </w:p>
    <w:p w:rsidR="00977281" w:rsidRPr="00CE4515" w:rsidRDefault="00977281" w:rsidP="00977281">
      <w:pPr>
        <w:spacing w:after="0"/>
        <w:rPr>
          <w:sz w:val="24"/>
          <w:szCs w:val="24"/>
        </w:rPr>
      </w:pPr>
    </w:p>
    <w:p w:rsidR="00977281" w:rsidRPr="00CE4515" w:rsidRDefault="00977281" w:rsidP="00977281">
      <w:pPr>
        <w:spacing w:after="0"/>
        <w:rPr>
          <w:sz w:val="24"/>
          <w:szCs w:val="24"/>
        </w:rPr>
      </w:pPr>
      <w:r w:rsidRPr="00CE4515">
        <w:rPr>
          <w:sz w:val="24"/>
          <w:szCs w:val="24"/>
        </w:rPr>
        <w:t>Value:  The property because of its location, condition, and market had significant value.  An independent appr</w:t>
      </w:r>
      <w:r>
        <w:rPr>
          <w:sz w:val="24"/>
          <w:szCs w:val="24"/>
        </w:rPr>
        <w:t>aisal indicated the property had</w:t>
      </w:r>
      <w:r w:rsidRPr="00CE4515">
        <w:rPr>
          <w:sz w:val="24"/>
          <w:szCs w:val="24"/>
        </w:rPr>
        <w:t xml:space="preserve"> a value of $9.1 million with the LIHTC income restrictions in place and a market value of $17,600,000 without income restrictions.</w:t>
      </w:r>
    </w:p>
    <w:p w:rsidR="00977281" w:rsidRPr="00CE4515" w:rsidRDefault="00977281" w:rsidP="00977281">
      <w:pPr>
        <w:spacing w:after="0"/>
        <w:rPr>
          <w:sz w:val="24"/>
          <w:szCs w:val="24"/>
        </w:rPr>
      </w:pPr>
    </w:p>
    <w:p w:rsidR="00977281" w:rsidRPr="00CE4515" w:rsidRDefault="00977281" w:rsidP="00977281">
      <w:pPr>
        <w:spacing w:after="0"/>
        <w:rPr>
          <w:sz w:val="24"/>
          <w:szCs w:val="24"/>
        </w:rPr>
      </w:pPr>
      <w:r w:rsidRPr="00CE4515">
        <w:rPr>
          <w:b/>
          <w:sz w:val="24"/>
          <w:szCs w:val="24"/>
        </w:rPr>
        <w:t>Proposal:</w:t>
      </w:r>
    </w:p>
    <w:p w:rsidR="00977281" w:rsidRPr="00CE4515" w:rsidRDefault="00977281" w:rsidP="00977281">
      <w:pPr>
        <w:spacing w:after="0"/>
        <w:rPr>
          <w:sz w:val="24"/>
          <w:szCs w:val="24"/>
        </w:rPr>
      </w:pPr>
    </w:p>
    <w:p w:rsidR="00977281" w:rsidRPr="00CE4515" w:rsidRDefault="00977281" w:rsidP="00977281">
      <w:pPr>
        <w:spacing w:after="0"/>
        <w:rPr>
          <w:sz w:val="24"/>
          <w:szCs w:val="24"/>
        </w:rPr>
      </w:pPr>
      <w:r w:rsidRPr="00CE4515">
        <w:rPr>
          <w:sz w:val="24"/>
          <w:szCs w:val="24"/>
        </w:rPr>
        <w:t xml:space="preserve">The nonprofit general partner proposed buying out both the for-profit co-general partner and the investor limited partner.  The parties agreed on a valuation approach based on a refinance using a 7% cap rate and an 80% loan to value.  The assumption was that net proceeds from a refinance would be used to retire existing debt, pay the yield maintenance fee and distribute the balance to the exiting partners.  This approach was definitely in favor of the nonprofit partner.  </w:t>
      </w:r>
    </w:p>
    <w:p w:rsidR="00977281" w:rsidRDefault="00977281" w:rsidP="00977281">
      <w:pPr>
        <w:spacing w:after="0"/>
        <w:rPr>
          <w:sz w:val="24"/>
          <w:szCs w:val="24"/>
        </w:rPr>
      </w:pPr>
    </w:p>
    <w:p w:rsidR="00977281" w:rsidRPr="007A5364" w:rsidRDefault="00977281" w:rsidP="00977281">
      <w:pPr>
        <w:spacing w:after="0"/>
        <w:rPr>
          <w:b/>
          <w:color w:val="FF0000"/>
          <w:sz w:val="24"/>
          <w:szCs w:val="24"/>
        </w:rPr>
      </w:pPr>
      <w:r w:rsidRPr="007A5364">
        <w:rPr>
          <w:b/>
          <w:color w:val="FF0000"/>
          <w:sz w:val="24"/>
          <w:szCs w:val="24"/>
        </w:rPr>
        <w:t>THIS IS A BIG ISSUE AND IMPORTANT PUBLIC POLICY NOTICE:</w:t>
      </w:r>
    </w:p>
    <w:p w:rsidR="00977281" w:rsidRPr="007A5364" w:rsidRDefault="00977281" w:rsidP="00977281">
      <w:pPr>
        <w:spacing w:after="0"/>
        <w:rPr>
          <w:b/>
          <w:sz w:val="24"/>
          <w:szCs w:val="24"/>
        </w:rPr>
      </w:pPr>
      <w:r w:rsidRPr="007A5364">
        <w:rPr>
          <w:b/>
          <w:sz w:val="24"/>
          <w:szCs w:val="24"/>
        </w:rPr>
        <w:t>The structure was successful in large part because public lenders with subordinate loans agreed to subordinate their loans to the new financing structure and did not require any pay down on their loans as part of the transaction.</w:t>
      </w:r>
    </w:p>
    <w:p w:rsidR="00977281" w:rsidRDefault="00977281" w:rsidP="00977281">
      <w:pPr>
        <w:rPr>
          <w:sz w:val="24"/>
          <w:szCs w:val="24"/>
        </w:rPr>
      </w:pPr>
      <w:r>
        <w:rPr>
          <w:sz w:val="24"/>
          <w:szCs w:val="24"/>
        </w:rPr>
        <w:br w:type="page"/>
      </w:r>
    </w:p>
    <w:p w:rsidR="00977281" w:rsidRPr="00CE4515" w:rsidRDefault="00977281" w:rsidP="00977281">
      <w:pPr>
        <w:spacing w:after="0"/>
        <w:rPr>
          <w:sz w:val="24"/>
          <w:szCs w:val="24"/>
        </w:rPr>
      </w:pPr>
    </w:p>
    <w:p w:rsidR="00977281" w:rsidRPr="00CE4515" w:rsidRDefault="00977281" w:rsidP="00977281">
      <w:pPr>
        <w:spacing w:after="0"/>
        <w:rPr>
          <w:sz w:val="24"/>
          <w:szCs w:val="24"/>
        </w:rPr>
      </w:pPr>
      <w:r w:rsidRPr="00CE4515">
        <w:rPr>
          <w:sz w:val="24"/>
          <w:szCs w:val="24"/>
        </w:rPr>
        <w:t>Cash flow for the six months prior to the refinancing was annualized and used as the basis for computing net operating income.  The analysis is summarized below:</w:t>
      </w:r>
    </w:p>
    <w:p w:rsidR="00977281" w:rsidRPr="00CE4515" w:rsidRDefault="00977281" w:rsidP="00977281">
      <w:pPr>
        <w:rPr>
          <w:sz w:val="24"/>
          <w:szCs w:val="24"/>
        </w:rPr>
      </w:pPr>
    </w:p>
    <w:p w:rsidR="00977281" w:rsidRPr="00CE4515" w:rsidRDefault="00977281" w:rsidP="00977281">
      <w:pPr>
        <w:spacing w:after="0"/>
        <w:rPr>
          <w:sz w:val="24"/>
          <w:szCs w:val="24"/>
        </w:rPr>
      </w:pPr>
      <w:r>
        <w:rPr>
          <w:sz w:val="24"/>
          <w:szCs w:val="24"/>
        </w:rPr>
        <w:t>Net Operating Income</w:t>
      </w:r>
      <w:r>
        <w:rPr>
          <w:sz w:val="24"/>
          <w:szCs w:val="24"/>
        </w:rPr>
        <w:tab/>
      </w:r>
      <w:r>
        <w:rPr>
          <w:sz w:val="24"/>
          <w:szCs w:val="24"/>
        </w:rPr>
        <w:tab/>
      </w:r>
      <w:r>
        <w:rPr>
          <w:sz w:val="24"/>
          <w:szCs w:val="24"/>
        </w:rPr>
        <w:tab/>
      </w:r>
      <w:r w:rsidRPr="00CE4515">
        <w:rPr>
          <w:sz w:val="24"/>
          <w:szCs w:val="24"/>
        </w:rPr>
        <w:t xml:space="preserve">$ </w:t>
      </w:r>
      <w:r w:rsidRPr="00CE4515">
        <w:rPr>
          <w:sz w:val="24"/>
          <w:szCs w:val="24"/>
        </w:rPr>
        <w:tab/>
        <w:t>558,511</w:t>
      </w:r>
    </w:p>
    <w:p w:rsidR="00977281" w:rsidRPr="00CE4515" w:rsidRDefault="00977281" w:rsidP="00977281">
      <w:pPr>
        <w:spacing w:after="0"/>
        <w:rPr>
          <w:sz w:val="24"/>
          <w:szCs w:val="24"/>
        </w:rPr>
      </w:pPr>
    </w:p>
    <w:p w:rsidR="00977281" w:rsidRPr="00CE4515" w:rsidRDefault="00977281" w:rsidP="00977281">
      <w:pPr>
        <w:spacing w:after="0"/>
        <w:rPr>
          <w:sz w:val="24"/>
          <w:szCs w:val="24"/>
        </w:rPr>
      </w:pPr>
      <w:r w:rsidRPr="00CE4515">
        <w:rPr>
          <w:sz w:val="24"/>
          <w:szCs w:val="24"/>
        </w:rPr>
        <w:t>Gross Loan Proceeds from Refinance</w:t>
      </w:r>
      <w:r w:rsidRPr="00CE4515">
        <w:rPr>
          <w:sz w:val="24"/>
          <w:szCs w:val="24"/>
        </w:rPr>
        <w:tab/>
      </w:r>
      <w:r w:rsidRPr="00CE4515">
        <w:rPr>
          <w:sz w:val="24"/>
          <w:szCs w:val="24"/>
        </w:rPr>
        <w:tab/>
        <w:t>$        6,350,000</w:t>
      </w:r>
    </w:p>
    <w:p w:rsidR="00977281" w:rsidRPr="00CE4515" w:rsidRDefault="00977281" w:rsidP="00977281">
      <w:pPr>
        <w:spacing w:after="0"/>
        <w:rPr>
          <w:sz w:val="24"/>
          <w:szCs w:val="24"/>
        </w:rPr>
      </w:pPr>
      <w:r w:rsidRPr="00CE4515">
        <w:rPr>
          <w:sz w:val="24"/>
          <w:szCs w:val="24"/>
        </w:rPr>
        <w:t>Less:  Closing C</w:t>
      </w:r>
      <w:r>
        <w:rPr>
          <w:sz w:val="24"/>
          <w:szCs w:val="24"/>
        </w:rPr>
        <w:t xml:space="preserve">osts, </w:t>
      </w:r>
      <w:proofErr w:type="spellStart"/>
      <w:r>
        <w:rPr>
          <w:sz w:val="24"/>
          <w:szCs w:val="24"/>
        </w:rPr>
        <w:t>prorations</w:t>
      </w:r>
      <w:proofErr w:type="spellEnd"/>
      <w:r>
        <w:rPr>
          <w:sz w:val="24"/>
          <w:szCs w:val="24"/>
        </w:rPr>
        <w:t xml:space="preserve">, payables      $         </w:t>
      </w:r>
      <w:r w:rsidRPr="00CE4515">
        <w:rPr>
          <w:sz w:val="24"/>
          <w:szCs w:val="24"/>
          <w:u w:val="single"/>
        </w:rPr>
        <w:t>(103,500)</w:t>
      </w:r>
    </w:p>
    <w:p w:rsidR="00977281" w:rsidRPr="00CE4515" w:rsidRDefault="00977281" w:rsidP="00977281">
      <w:pPr>
        <w:spacing w:after="0"/>
        <w:rPr>
          <w:sz w:val="24"/>
          <w:szCs w:val="24"/>
        </w:rPr>
      </w:pPr>
      <w:r w:rsidRPr="00CE4515">
        <w:rPr>
          <w:sz w:val="24"/>
          <w:szCs w:val="24"/>
        </w:rPr>
        <w:t xml:space="preserve">Net Loan </w:t>
      </w:r>
      <w:proofErr w:type="gramStart"/>
      <w:r w:rsidRPr="00CE4515">
        <w:rPr>
          <w:sz w:val="24"/>
          <w:szCs w:val="24"/>
        </w:rPr>
        <w:t>Proceeds</w:t>
      </w:r>
      <w:proofErr w:type="gramEnd"/>
      <w:r w:rsidRPr="00CE4515">
        <w:rPr>
          <w:sz w:val="24"/>
          <w:szCs w:val="24"/>
        </w:rPr>
        <w:tab/>
      </w:r>
      <w:r w:rsidRPr="00CE4515">
        <w:rPr>
          <w:sz w:val="24"/>
          <w:szCs w:val="24"/>
        </w:rPr>
        <w:tab/>
      </w:r>
      <w:r w:rsidRPr="00CE4515">
        <w:rPr>
          <w:sz w:val="24"/>
          <w:szCs w:val="24"/>
        </w:rPr>
        <w:tab/>
      </w:r>
      <w:r w:rsidRPr="00CE4515">
        <w:rPr>
          <w:sz w:val="24"/>
          <w:szCs w:val="24"/>
        </w:rPr>
        <w:tab/>
        <w:t>$        6,246,500</w:t>
      </w:r>
    </w:p>
    <w:p w:rsidR="00977281" w:rsidRPr="00CE4515" w:rsidRDefault="00977281" w:rsidP="00977281">
      <w:pPr>
        <w:spacing w:after="0"/>
        <w:rPr>
          <w:sz w:val="24"/>
          <w:szCs w:val="24"/>
        </w:rPr>
      </w:pPr>
    </w:p>
    <w:p w:rsidR="00977281" w:rsidRPr="00CE4515" w:rsidRDefault="00977281" w:rsidP="00977281">
      <w:pPr>
        <w:spacing w:after="0"/>
        <w:rPr>
          <w:sz w:val="24"/>
          <w:szCs w:val="24"/>
        </w:rPr>
      </w:pPr>
      <w:r w:rsidRPr="00CE4515">
        <w:rPr>
          <w:sz w:val="24"/>
          <w:szCs w:val="24"/>
        </w:rPr>
        <w:t>Pay off 1st mortgage balance</w:t>
      </w:r>
      <w:r w:rsidRPr="00CE4515">
        <w:rPr>
          <w:sz w:val="24"/>
          <w:szCs w:val="24"/>
        </w:rPr>
        <w:tab/>
      </w:r>
      <w:r w:rsidRPr="00CE4515">
        <w:rPr>
          <w:sz w:val="24"/>
          <w:szCs w:val="24"/>
        </w:rPr>
        <w:tab/>
      </w:r>
      <w:r w:rsidRPr="00CE4515">
        <w:rPr>
          <w:sz w:val="24"/>
          <w:szCs w:val="24"/>
        </w:rPr>
        <w:tab/>
        <w:t>$        (3,355,000)</w:t>
      </w:r>
    </w:p>
    <w:p w:rsidR="00977281" w:rsidRPr="00CE4515" w:rsidRDefault="00977281" w:rsidP="00977281">
      <w:pPr>
        <w:spacing w:after="0"/>
        <w:rPr>
          <w:sz w:val="24"/>
          <w:szCs w:val="24"/>
        </w:rPr>
      </w:pPr>
      <w:r w:rsidRPr="00CE4515">
        <w:rPr>
          <w:sz w:val="24"/>
          <w:szCs w:val="24"/>
        </w:rPr>
        <w:t>Yield Maintenance Fee</w:t>
      </w:r>
      <w:r>
        <w:rPr>
          <w:sz w:val="24"/>
          <w:szCs w:val="24"/>
        </w:rPr>
        <w:t xml:space="preserve">   OUCH!</w:t>
      </w:r>
      <w:r w:rsidRPr="00CE4515">
        <w:rPr>
          <w:sz w:val="24"/>
          <w:szCs w:val="24"/>
        </w:rPr>
        <w:tab/>
      </w:r>
      <w:r w:rsidRPr="00CE4515">
        <w:rPr>
          <w:sz w:val="24"/>
          <w:szCs w:val="24"/>
        </w:rPr>
        <w:tab/>
      </w:r>
      <w:r w:rsidRPr="00CE4515">
        <w:rPr>
          <w:sz w:val="24"/>
          <w:szCs w:val="24"/>
        </w:rPr>
        <w:tab/>
      </w:r>
      <w:r w:rsidRPr="00CE4515">
        <w:rPr>
          <w:sz w:val="24"/>
          <w:szCs w:val="24"/>
          <w:u w:val="single"/>
        </w:rPr>
        <w:t>(889,000)</w:t>
      </w:r>
      <w:r w:rsidRPr="00CE4515">
        <w:rPr>
          <w:sz w:val="24"/>
          <w:szCs w:val="24"/>
        </w:rPr>
        <w:tab/>
      </w:r>
    </w:p>
    <w:p w:rsidR="00977281" w:rsidRPr="00CE4515" w:rsidRDefault="00977281" w:rsidP="00977281">
      <w:pPr>
        <w:spacing w:after="0"/>
        <w:rPr>
          <w:sz w:val="24"/>
          <w:szCs w:val="24"/>
        </w:rPr>
      </w:pPr>
      <w:r w:rsidRPr="00CE4515">
        <w:rPr>
          <w:sz w:val="24"/>
          <w:szCs w:val="24"/>
        </w:rPr>
        <w:tab/>
      </w:r>
      <w:r w:rsidRPr="00CE4515">
        <w:rPr>
          <w:sz w:val="24"/>
          <w:szCs w:val="24"/>
        </w:rPr>
        <w:tab/>
      </w:r>
      <w:r w:rsidRPr="00CE4515">
        <w:rPr>
          <w:sz w:val="24"/>
          <w:szCs w:val="24"/>
        </w:rPr>
        <w:tab/>
      </w:r>
      <w:r w:rsidRPr="00CE4515">
        <w:rPr>
          <w:sz w:val="24"/>
          <w:szCs w:val="24"/>
        </w:rPr>
        <w:tab/>
      </w:r>
      <w:r w:rsidRPr="00CE4515">
        <w:rPr>
          <w:sz w:val="24"/>
          <w:szCs w:val="24"/>
        </w:rPr>
        <w:tab/>
      </w:r>
      <w:r w:rsidRPr="00CE4515">
        <w:rPr>
          <w:sz w:val="24"/>
          <w:szCs w:val="24"/>
        </w:rPr>
        <w:tab/>
        <w:t>$        (4,244,000)</w:t>
      </w:r>
    </w:p>
    <w:p w:rsidR="00977281" w:rsidRPr="00CE4515" w:rsidRDefault="00977281" w:rsidP="00977281">
      <w:pPr>
        <w:spacing w:after="0"/>
        <w:rPr>
          <w:sz w:val="24"/>
          <w:szCs w:val="24"/>
        </w:rPr>
      </w:pPr>
      <w:r w:rsidRPr="00CE4515">
        <w:rPr>
          <w:sz w:val="24"/>
          <w:szCs w:val="24"/>
        </w:rPr>
        <w:t>Proceeds after debt pay off</w:t>
      </w:r>
      <w:r w:rsidRPr="00CE4515">
        <w:rPr>
          <w:sz w:val="24"/>
          <w:szCs w:val="24"/>
        </w:rPr>
        <w:tab/>
      </w:r>
      <w:r w:rsidRPr="00CE4515">
        <w:rPr>
          <w:sz w:val="24"/>
          <w:szCs w:val="24"/>
        </w:rPr>
        <w:tab/>
      </w:r>
      <w:r w:rsidRPr="00CE4515">
        <w:rPr>
          <w:sz w:val="24"/>
          <w:szCs w:val="24"/>
        </w:rPr>
        <w:tab/>
        <w:t>$          2,002,500</w:t>
      </w:r>
    </w:p>
    <w:p w:rsidR="00977281" w:rsidRPr="00CE4515" w:rsidRDefault="00977281" w:rsidP="00977281">
      <w:pPr>
        <w:spacing w:after="0"/>
        <w:rPr>
          <w:sz w:val="24"/>
          <w:szCs w:val="24"/>
        </w:rPr>
      </w:pPr>
    </w:p>
    <w:p w:rsidR="00977281" w:rsidRPr="00CE4515" w:rsidRDefault="00977281" w:rsidP="00977281">
      <w:pPr>
        <w:spacing w:after="0"/>
        <w:rPr>
          <w:sz w:val="24"/>
          <w:szCs w:val="24"/>
        </w:rPr>
      </w:pPr>
      <w:r w:rsidRPr="00CE4515">
        <w:rPr>
          <w:sz w:val="24"/>
          <w:szCs w:val="24"/>
        </w:rPr>
        <w:t>Property</w:t>
      </w:r>
      <w:r>
        <w:rPr>
          <w:sz w:val="24"/>
          <w:szCs w:val="24"/>
        </w:rPr>
        <w:t xml:space="preserve"> cash accounts (includes RFR)</w:t>
      </w:r>
      <w:r>
        <w:rPr>
          <w:sz w:val="24"/>
          <w:szCs w:val="24"/>
        </w:rPr>
        <w:tab/>
      </w:r>
      <w:r>
        <w:rPr>
          <w:sz w:val="24"/>
          <w:szCs w:val="24"/>
        </w:rPr>
        <w:tab/>
        <w:t xml:space="preserve"> </w:t>
      </w:r>
      <w:r w:rsidRPr="00CE4515">
        <w:rPr>
          <w:sz w:val="24"/>
          <w:szCs w:val="24"/>
        </w:rPr>
        <w:t>425,000</w:t>
      </w:r>
    </w:p>
    <w:p w:rsidR="00977281" w:rsidRPr="00CE4515" w:rsidRDefault="00977281" w:rsidP="00977281">
      <w:pPr>
        <w:spacing w:after="0"/>
        <w:rPr>
          <w:sz w:val="24"/>
          <w:szCs w:val="24"/>
        </w:rPr>
      </w:pPr>
      <w:r w:rsidRPr="00CE4515">
        <w:rPr>
          <w:sz w:val="24"/>
          <w:szCs w:val="24"/>
        </w:rPr>
        <w:t>Less working c</w:t>
      </w:r>
      <w:r>
        <w:rPr>
          <w:sz w:val="24"/>
          <w:szCs w:val="24"/>
        </w:rPr>
        <w:t>apital + new RFR</w:t>
      </w:r>
      <w:r>
        <w:rPr>
          <w:sz w:val="24"/>
          <w:szCs w:val="24"/>
        </w:rPr>
        <w:tab/>
      </w:r>
      <w:r>
        <w:rPr>
          <w:sz w:val="24"/>
          <w:szCs w:val="24"/>
        </w:rPr>
        <w:tab/>
      </w:r>
      <w:r>
        <w:rPr>
          <w:sz w:val="24"/>
          <w:szCs w:val="24"/>
        </w:rPr>
        <w:tab/>
      </w:r>
      <w:r w:rsidRPr="00CE4515">
        <w:rPr>
          <w:sz w:val="24"/>
          <w:szCs w:val="24"/>
        </w:rPr>
        <w:t>(150,000)</w:t>
      </w:r>
    </w:p>
    <w:p w:rsidR="00977281" w:rsidRPr="00CE4515" w:rsidRDefault="00977281" w:rsidP="00977281">
      <w:pPr>
        <w:spacing w:after="0"/>
        <w:rPr>
          <w:sz w:val="24"/>
          <w:szCs w:val="24"/>
        </w:rPr>
      </w:pPr>
      <w:r w:rsidRPr="00CE4515">
        <w:rPr>
          <w:sz w:val="24"/>
          <w:szCs w:val="24"/>
        </w:rPr>
        <w:t>Less accrued asset management fee</w:t>
      </w:r>
      <w:r w:rsidRPr="00CE4515">
        <w:rPr>
          <w:sz w:val="24"/>
          <w:szCs w:val="24"/>
        </w:rPr>
        <w:tab/>
      </w:r>
      <w:r w:rsidRPr="00CE4515">
        <w:rPr>
          <w:sz w:val="24"/>
          <w:szCs w:val="24"/>
        </w:rPr>
        <w:tab/>
      </w:r>
      <w:r w:rsidRPr="00CE4515">
        <w:rPr>
          <w:sz w:val="24"/>
          <w:szCs w:val="24"/>
        </w:rPr>
        <w:tab/>
        <w:t xml:space="preserve"> (15,000)</w:t>
      </w:r>
    </w:p>
    <w:p w:rsidR="00977281" w:rsidRPr="00CE4515" w:rsidRDefault="00977281" w:rsidP="00977281">
      <w:pPr>
        <w:spacing w:after="0"/>
        <w:rPr>
          <w:sz w:val="24"/>
          <w:szCs w:val="24"/>
        </w:rPr>
      </w:pPr>
    </w:p>
    <w:p w:rsidR="00977281" w:rsidRPr="00CE4515" w:rsidRDefault="00977281" w:rsidP="00977281">
      <w:pPr>
        <w:spacing w:after="0"/>
        <w:rPr>
          <w:sz w:val="24"/>
          <w:szCs w:val="24"/>
        </w:rPr>
      </w:pPr>
      <w:r w:rsidRPr="00CE4515">
        <w:rPr>
          <w:sz w:val="24"/>
          <w:szCs w:val="24"/>
        </w:rPr>
        <w:t>Proceeds available for distribution</w:t>
      </w:r>
      <w:r w:rsidRPr="00CE4515">
        <w:rPr>
          <w:sz w:val="24"/>
          <w:szCs w:val="24"/>
        </w:rPr>
        <w:tab/>
      </w:r>
      <w:r w:rsidRPr="00CE4515">
        <w:rPr>
          <w:sz w:val="24"/>
          <w:szCs w:val="24"/>
        </w:rPr>
        <w:tab/>
        <w:t>$          2,262,500</w:t>
      </w:r>
    </w:p>
    <w:p w:rsidR="00977281" w:rsidRPr="00CE4515" w:rsidRDefault="00977281" w:rsidP="00977281">
      <w:pPr>
        <w:spacing w:after="0"/>
        <w:rPr>
          <w:sz w:val="24"/>
          <w:szCs w:val="24"/>
        </w:rPr>
      </w:pPr>
    </w:p>
    <w:p w:rsidR="00977281" w:rsidRPr="00CE4515" w:rsidRDefault="00977281" w:rsidP="00977281">
      <w:pPr>
        <w:spacing w:after="0"/>
        <w:rPr>
          <w:sz w:val="24"/>
          <w:szCs w:val="24"/>
        </w:rPr>
      </w:pPr>
      <w:r>
        <w:rPr>
          <w:sz w:val="24"/>
          <w:szCs w:val="24"/>
        </w:rPr>
        <w:t>Purchase of GP Interest</w:t>
      </w:r>
      <w:r>
        <w:rPr>
          <w:sz w:val="24"/>
          <w:szCs w:val="24"/>
        </w:rPr>
        <w:tab/>
      </w:r>
      <w:r>
        <w:rPr>
          <w:sz w:val="24"/>
          <w:szCs w:val="24"/>
        </w:rPr>
        <w:tab/>
      </w:r>
      <w:r>
        <w:rPr>
          <w:sz w:val="24"/>
          <w:szCs w:val="24"/>
        </w:rPr>
        <w:tab/>
      </w:r>
      <w:r>
        <w:rPr>
          <w:sz w:val="24"/>
          <w:szCs w:val="24"/>
        </w:rPr>
        <w:tab/>
        <w:t xml:space="preserve">   </w:t>
      </w:r>
      <w:r w:rsidRPr="00CE4515">
        <w:rPr>
          <w:sz w:val="24"/>
          <w:szCs w:val="24"/>
        </w:rPr>
        <w:t>400,000</w:t>
      </w:r>
    </w:p>
    <w:p w:rsidR="00977281" w:rsidRPr="00CE4515" w:rsidRDefault="00977281" w:rsidP="00977281">
      <w:pPr>
        <w:spacing w:after="0"/>
        <w:rPr>
          <w:sz w:val="24"/>
          <w:szCs w:val="24"/>
        </w:rPr>
      </w:pPr>
      <w:r w:rsidRPr="00CE4515">
        <w:rPr>
          <w:sz w:val="24"/>
          <w:szCs w:val="24"/>
        </w:rPr>
        <w:t>Purchase</w:t>
      </w:r>
      <w:r>
        <w:rPr>
          <w:sz w:val="24"/>
          <w:szCs w:val="24"/>
        </w:rPr>
        <w:t xml:space="preserve"> of LP Interest</w:t>
      </w:r>
      <w:r>
        <w:rPr>
          <w:sz w:val="24"/>
          <w:szCs w:val="24"/>
        </w:rPr>
        <w:tab/>
      </w:r>
      <w:r>
        <w:rPr>
          <w:sz w:val="24"/>
          <w:szCs w:val="24"/>
        </w:rPr>
        <w:tab/>
      </w:r>
      <w:r>
        <w:rPr>
          <w:sz w:val="24"/>
          <w:szCs w:val="24"/>
        </w:rPr>
        <w:tab/>
      </w:r>
      <w:r>
        <w:rPr>
          <w:sz w:val="24"/>
          <w:szCs w:val="24"/>
        </w:rPr>
        <w:tab/>
      </w:r>
      <w:r w:rsidRPr="00CE4515">
        <w:rPr>
          <w:sz w:val="24"/>
          <w:szCs w:val="24"/>
        </w:rPr>
        <w:t>1,862,500</w:t>
      </w:r>
    </w:p>
    <w:p w:rsidR="00977281" w:rsidRDefault="00977281" w:rsidP="00977281">
      <w:pPr>
        <w:rPr>
          <w:b/>
          <w:sz w:val="24"/>
          <w:szCs w:val="24"/>
        </w:rPr>
      </w:pPr>
      <w:r>
        <w:rPr>
          <w:b/>
          <w:sz w:val="24"/>
          <w:szCs w:val="24"/>
        </w:rPr>
        <w:br w:type="page"/>
      </w:r>
    </w:p>
    <w:p w:rsidR="00977281" w:rsidRDefault="00977281" w:rsidP="00977281">
      <w:pPr>
        <w:spacing w:after="0"/>
        <w:rPr>
          <w:b/>
          <w:sz w:val="24"/>
          <w:szCs w:val="24"/>
        </w:rPr>
      </w:pPr>
      <w:r>
        <w:rPr>
          <w:b/>
          <w:sz w:val="24"/>
          <w:szCs w:val="24"/>
        </w:rPr>
        <w:lastRenderedPageBreak/>
        <w:t xml:space="preserve">Financing the Transaction </w:t>
      </w:r>
    </w:p>
    <w:p w:rsidR="00977281" w:rsidRPr="00CE4515" w:rsidRDefault="00977281" w:rsidP="00977281">
      <w:pPr>
        <w:spacing w:after="0"/>
        <w:rPr>
          <w:sz w:val="24"/>
          <w:szCs w:val="24"/>
        </w:rPr>
      </w:pPr>
      <w:r w:rsidRPr="00CE4515">
        <w:rPr>
          <w:sz w:val="24"/>
          <w:szCs w:val="24"/>
        </w:rPr>
        <w:t xml:space="preserve"> </w:t>
      </w:r>
    </w:p>
    <w:p w:rsidR="00977281" w:rsidRPr="00CE4515" w:rsidRDefault="00977281" w:rsidP="00977281">
      <w:pPr>
        <w:spacing w:after="0"/>
        <w:rPr>
          <w:sz w:val="24"/>
          <w:szCs w:val="24"/>
        </w:rPr>
      </w:pPr>
      <w:r w:rsidRPr="00CE4515">
        <w:rPr>
          <w:sz w:val="24"/>
          <w:szCs w:val="24"/>
        </w:rPr>
        <w:t xml:space="preserve">The new financing </w:t>
      </w:r>
      <w:r>
        <w:rPr>
          <w:sz w:val="24"/>
          <w:szCs w:val="24"/>
        </w:rPr>
        <w:t xml:space="preserve">closed in April 2011 </w:t>
      </w:r>
      <w:r w:rsidRPr="00CE4515">
        <w:rPr>
          <w:sz w:val="24"/>
          <w:szCs w:val="24"/>
        </w:rPr>
        <w:t xml:space="preserve">was provided through a </w:t>
      </w:r>
      <w:r>
        <w:rPr>
          <w:sz w:val="24"/>
          <w:szCs w:val="24"/>
        </w:rPr>
        <w:t xml:space="preserve">Freddie Mac </w:t>
      </w:r>
      <w:r w:rsidRPr="00CE4515">
        <w:rPr>
          <w:sz w:val="24"/>
          <w:szCs w:val="24"/>
        </w:rPr>
        <w:t xml:space="preserve">Capital Markets Execution (CMO).  The loan had an interest rate 5.592% a term of 10 years and an amortization of 30 years.   The loan amount was less than the analysis used to arrive at the payment for the partner interests.  The </w:t>
      </w:r>
      <w:r>
        <w:rPr>
          <w:sz w:val="24"/>
          <w:szCs w:val="24"/>
        </w:rPr>
        <w:t xml:space="preserve">final </w:t>
      </w:r>
      <w:r w:rsidRPr="00CE4515">
        <w:rPr>
          <w:sz w:val="24"/>
          <w:szCs w:val="24"/>
        </w:rPr>
        <w:t>sources and uses are shown below:</w:t>
      </w:r>
    </w:p>
    <w:p w:rsidR="00977281" w:rsidRPr="00CE4515" w:rsidRDefault="00977281" w:rsidP="00977281">
      <w:pPr>
        <w:spacing w:after="0"/>
        <w:rPr>
          <w:sz w:val="24"/>
          <w:szCs w:val="24"/>
        </w:rPr>
      </w:pPr>
    </w:p>
    <w:p w:rsidR="00977281" w:rsidRPr="00CE4515" w:rsidRDefault="00977281" w:rsidP="00977281">
      <w:pPr>
        <w:spacing w:after="0"/>
        <w:rPr>
          <w:sz w:val="24"/>
          <w:szCs w:val="24"/>
        </w:rPr>
      </w:pPr>
      <w:r w:rsidRPr="00CE4515">
        <w:rPr>
          <w:sz w:val="24"/>
          <w:szCs w:val="24"/>
        </w:rPr>
        <w:t>Sources:</w:t>
      </w:r>
      <w:r w:rsidRPr="00CE4515">
        <w:rPr>
          <w:sz w:val="24"/>
          <w:szCs w:val="24"/>
        </w:rPr>
        <w:tab/>
      </w:r>
      <w:r w:rsidRPr="00CE4515">
        <w:rPr>
          <w:sz w:val="24"/>
          <w:szCs w:val="24"/>
        </w:rPr>
        <w:tab/>
      </w:r>
      <w:r w:rsidRPr="00CE4515">
        <w:rPr>
          <w:sz w:val="24"/>
          <w:szCs w:val="24"/>
        </w:rPr>
        <w:tab/>
      </w:r>
      <w:r w:rsidRPr="00CE4515">
        <w:rPr>
          <w:sz w:val="24"/>
          <w:szCs w:val="24"/>
        </w:rPr>
        <w:tab/>
      </w:r>
      <w:r w:rsidRPr="00CE4515">
        <w:rPr>
          <w:sz w:val="24"/>
          <w:szCs w:val="24"/>
        </w:rPr>
        <w:tab/>
        <w:t>Uses:</w:t>
      </w:r>
    </w:p>
    <w:p w:rsidR="00977281" w:rsidRPr="00CE4515" w:rsidRDefault="00977281" w:rsidP="00977281">
      <w:pPr>
        <w:spacing w:after="0"/>
        <w:rPr>
          <w:sz w:val="24"/>
          <w:szCs w:val="24"/>
        </w:rPr>
      </w:pPr>
    </w:p>
    <w:p w:rsidR="00977281" w:rsidRPr="00CE4515" w:rsidRDefault="00977281" w:rsidP="00977281">
      <w:pPr>
        <w:spacing w:after="0"/>
        <w:rPr>
          <w:sz w:val="24"/>
          <w:szCs w:val="24"/>
        </w:rPr>
      </w:pPr>
      <w:r w:rsidRPr="00CE4515">
        <w:rPr>
          <w:sz w:val="24"/>
          <w:szCs w:val="24"/>
        </w:rPr>
        <w:t>Loan</w:t>
      </w:r>
      <w:r w:rsidRPr="00CE4515">
        <w:rPr>
          <w:sz w:val="24"/>
          <w:szCs w:val="24"/>
        </w:rPr>
        <w:tab/>
      </w:r>
      <w:r w:rsidRPr="00CE4515">
        <w:rPr>
          <w:sz w:val="24"/>
          <w:szCs w:val="24"/>
        </w:rPr>
        <w:tab/>
      </w:r>
      <w:r w:rsidRPr="00CE4515">
        <w:rPr>
          <w:sz w:val="24"/>
          <w:szCs w:val="24"/>
        </w:rPr>
        <w:tab/>
      </w:r>
      <w:r w:rsidRPr="00CE4515">
        <w:rPr>
          <w:sz w:val="24"/>
          <w:szCs w:val="24"/>
        </w:rPr>
        <w:tab/>
        <w:t>$6,105,000</w:t>
      </w:r>
      <w:r w:rsidRPr="00CE4515">
        <w:rPr>
          <w:sz w:val="24"/>
          <w:szCs w:val="24"/>
        </w:rPr>
        <w:tab/>
        <w:t>First Mortgage Payoff</w:t>
      </w:r>
      <w:r w:rsidRPr="00CE4515">
        <w:rPr>
          <w:sz w:val="24"/>
          <w:szCs w:val="24"/>
        </w:rPr>
        <w:tab/>
      </w:r>
      <w:r w:rsidRPr="00CE4515">
        <w:rPr>
          <w:sz w:val="24"/>
          <w:szCs w:val="24"/>
        </w:rPr>
        <w:tab/>
        <w:t>$4,135,789</w:t>
      </w:r>
    </w:p>
    <w:p w:rsidR="00977281" w:rsidRPr="00CE4515" w:rsidRDefault="00977281" w:rsidP="00977281">
      <w:pPr>
        <w:spacing w:after="0"/>
        <w:rPr>
          <w:sz w:val="24"/>
          <w:szCs w:val="24"/>
        </w:rPr>
      </w:pPr>
      <w:r>
        <w:rPr>
          <w:sz w:val="24"/>
          <w:szCs w:val="24"/>
        </w:rPr>
        <w:t>HFA Contribution</w:t>
      </w:r>
      <w:r>
        <w:rPr>
          <w:sz w:val="24"/>
          <w:szCs w:val="24"/>
        </w:rPr>
        <w:tab/>
        <w:t xml:space="preserve">      </w:t>
      </w:r>
      <w:r>
        <w:rPr>
          <w:sz w:val="24"/>
          <w:szCs w:val="24"/>
        </w:rPr>
        <w:tab/>
        <w:t xml:space="preserve">      </w:t>
      </w:r>
      <w:r w:rsidRPr="00CE4515">
        <w:rPr>
          <w:sz w:val="24"/>
          <w:szCs w:val="24"/>
        </w:rPr>
        <w:t>122,100</w:t>
      </w:r>
      <w:r w:rsidRPr="00CE4515">
        <w:rPr>
          <w:sz w:val="24"/>
          <w:szCs w:val="24"/>
        </w:rPr>
        <w:tab/>
        <w:t>GP Buyout</w:t>
      </w:r>
      <w:r w:rsidRPr="00CE4515">
        <w:rPr>
          <w:sz w:val="24"/>
          <w:szCs w:val="24"/>
        </w:rPr>
        <w:tab/>
      </w:r>
      <w:r w:rsidRPr="00CE4515">
        <w:rPr>
          <w:sz w:val="24"/>
          <w:szCs w:val="24"/>
        </w:rPr>
        <w:tab/>
      </w:r>
      <w:r w:rsidRPr="00CE4515">
        <w:rPr>
          <w:sz w:val="24"/>
          <w:szCs w:val="24"/>
        </w:rPr>
        <w:tab/>
        <w:t xml:space="preserve">     400,000</w:t>
      </w:r>
    </w:p>
    <w:p w:rsidR="00977281" w:rsidRPr="00CE4515" w:rsidRDefault="00977281" w:rsidP="00977281">
      <w:pPr>
        <w:spacing w:after="0"/>
        <w:rPr>
          <w:sz w:val="24"/>
          <w:szCs w:val="24"/>
        </w:rPr>
      </w:pPr>
      <w:r w:rsidRPr="00CE4515">
        <w:rPr>
          <w:sz w:val="24"/>
          <w:szCs w:val="24"/>
        </w:rPr>
        <w:t>Proceeds from Property Cash</w:t>
      </w:r>
      <w:r w:rsidRPr="00CE4515">
        <w:rPr>
          <w:sz w:val="24"/>
          <w:szCs w:val="24"/>
        </w:rPr>
        <w:tab/>
        <w:t xml:space="preserve">     </w:t>
      </w:r>
      <w:r>
        <w:rPr>
          <w:sz w:val="24"/>
          <w:szCs w:val="24"/>
        </w:rPr>
        <w:t xml:space="preserve"> </w:t>
      </w:r>
      <w:r w:rsidRPr="00CE4515">
        <w:rPr>
          <w:sz w:val="24"/>
          <w:szCs w:val="24"/>
        </w:rPr>
        <w:t>311,480</w:t>
      </w:r>
      <w:r w:rsidRPr="00CE4515">
        <w:rPr>
          <w:sz w:val="24"/>
          <w:szCs w:val="24"/>
        </w:rPr>
        <w:tab/>
        <w:t>LP Buyout</w:t>
      </w:r>
      <w:r w:rsidRPr="00CE4515">
        <w:rPr>
          <w:sz w:val="24"/>
          <w:szCs w:val="24"/>
        </w:rPr>
        <w:tab/>
      </w:r>
      <w:r w:rsidRPr="00CE4515">
        <w:rPr>
          <w:sz w:val="24"/>
          <w:szCs w:val="24"/>
        </w:rPr>
        <w:tab/>
      </w:r>
      <w:r w:rsidRPr="00CE4515">
        <w:rPr>
          <w:sz w:val="24"/>
          <w:szCs w:val="24"/>
        </w:rPr>
        <w:tab/>
        <w:t xml:space="preserve">  1,700,000</w:t>
      </w:r>
    </w:p>
    <w:p w:rsidR="00977281" w:rsidRPr="00CE4515" w:rsidRDefault="00977281" w:rsidP="00977281">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Reserve f</w:t>
      </w:r>
      <w:r w:rsidRPr="00CE4515">
        <w:rPr>
          <w:sz w:val="24"/>
          <w:szCs w:val="24"/>
        </w:rPr>
        <w:t>or Replacement</w:t>
      </w:r>
      <w:r w:rsidRPr="00CE4515">
        <w:rPr>
          <w:sz w:val="24"/>
          <w:szCs w:val="24"/>
        </w:rPr>
        <w:tab/>
        <w:t xml:space="preserve">     200,000</w:t>
      </w:r>
    </w:p>
    <w:p w:rsidR="00977281" w:rsidRPr="00CE4515" w:rsidRDefault="00977281" w:rsidP="00977281">
      <w:pPr>
        <w:spacing w:after="0"/>
        <w:rPr>
          <w:sz w:val="24"/>
          <w:szCs w:val="24"/>
        </w:rPr>
      </w:pPr>
      <w:r w:rsidRPr="00CE4515">
        <w:rPr>
          <w:sz w:val="24"/>
          <w:szCs w:val="24"/>
        </w:rPr>
        <w:tab/>
      </w:r>
      <w:r w:rsidRPr="00CE4515">
        <w:rPr>
          <w:sz w:val="24"/>
          <w:szCs w:val="24"/>
        </w:rPr>
        <w:tab/>
      </w:r>
      <w:r w:rsidRPr="00CE4515">
        <w:rPr>
          <w:sz w:val="24"/>
          <w:szCs w:val="24"/>
        </w:rPr>
        <w:tab/>
      </w:r>
      <w:r w:rsidRPr="00CE4515">
        <w:rPr>
          <w:sz w:val="24"/>
          <w:szCs w:val="24"/>
        </w:rPr>
        <w:tab/>
      </w:r>
      <w:r w:rsidRPr="00CE4515">
        <w:rPr>
          <w:sz w:val="24"/>
          <w:szCs w:val="24"/>
        </w:rPr>
        <w:tab/>
      </w:r>
      <w:r w:rsidRPr="00CE4515">
        <w:rPr>
          <w:sz w:val="24"/>
          <w:szCs w:val="24"/>
        </w:rPr>
        <w:tab/>
        <w:t>Closing/Transaction Fees</w:t>
      </w:r>
      <w:r w:rsidRPr="00CE4515">
        <w:rPr>
          <w:sz w:val="24"/>
          <w:szCs w:val="24"/>
        </w:rPr>
        <w:tab/>
        <w:t xml:space="preserve">      102,797</w:t>
      </w:r>
    </w:p>
    <w:p w:rsidR="00977281" w:rsidRPr="00CE4515" w:rsidRDefault="00977281" w:rsidP="00977281">
      <w:pPr>
        <w:spacing w:after="0"/>
        <w:rPr>
          <w:sz w:val="24"/>
          <w:szCs w:val="24"/>
        </w:rPr>
      </w:pPr>
    </w:p>
    <w:p w:rsidR="00977281" w:rsidRPr="00CE4515" w:rsidRDefault="00977281" w:rsidP="00977281">
      <w:pPr>
        <w:spacing w:after="0"/>
        <w:rPr>
          <w:sz w:val="24"/>
          <w:szCs w:val="24"/>
        </w:rPr>
      </w:pPr>
      <w:r w:rsidRPr="00CE4515">
        <w:rPr>
          <w:sz w:val="24"/>
          <w:szCs w:val="24"/>
        </w:rPr>
        <w:t>Total Sources</w:t>
      </w:r>
      <w:r w:rsidRPr="00CE4515">
        <w:rPr>
          <w:sz w:val="24"/>
          <w:szCs w:val="24"/>
        </w:rPr>
        <w:tab/>
      </w:r>
      <w:r w:rsidRPr="00CE4515">
        <w:rPr>
          <w:sz w:val="24"/>
          <w:szCs w:val="24"/>
        </w:rPr>
        <w:tab/>
      </w:r>
      <w:r w:rsidRPr="00CE4515">
        <w:rPr>
          <w:sz w:val="24"/>
          <w:szCs w:val="24"/>
        </w:rPr>
        <w:tab/>
        <w:t>$6,538,580</w:t>
      </w:r>
      <w:r w:rsidRPr="00CE4515">
        <w:rPr>
          <w:sz w:val="24"/>
          <w:szCs w:val="24"/>
        </w:rPr>
        <w:tab/>
        <w:t>Total Uses</w:t>
      </w:r>
      <w:r w:rsidRPr="00CE4515">
        <w:rPr>
          <w:sz w:val="24"/>
          <w:szCs w:val="24"/>
        </w:rPr>
        <w:tab/>
      </w:r>
      <w:r w:rsidRPr="00CE4515">
        <w:rPr>
          <w:sz w:val="24"/>
          <w:szCs w:val="24"/>
        </w:rPr>
        <w:tab/>
      </w:r>
      <w:r w:rsidRPr="00CE4515">
        <w:rPr>
          <w:sz w:val="24"/>
          <w:szCs w:val="24"/>
        </w:rPr>
        <w:tab/>
        <w:t>$6,538,580</w:t>
      </w:r>
    </w:p>
    <w:p w:rsidR="00977281" w:rsidRPr="00CE4515" w:rsidRDefault="00977281" w:rsidP="00977281">
      <w:pPr>
        <w:spacing w:after="0"/>
        <w:rPr>
          <w:sz w:val="24"/>
          <w:szCs w:val="24"/>
        </w:rPr>
      </w:pPr>
    </w:p>
    <w:p w:rsidR="00977281" w:rsidRDefault="00977281" w:rsidP="00977281">
      <w:pPr>
        <w:spacing w:after="0"/>
        <w:rPr>
          <w:sz w:val="24"/>
          <w:szCs w:val="24"/>
        </w:rPr>
      </w:pPr>
      <w:r>
        <w:rPr>
          <w:b/>
          <w:sz w:val="24"/>
          <w:szCs w:val="24"/>
        </w:rPr>
        <w:t>Maryland Policy Change</w:t>
      </w:r>
    </w:p>
    <w:p w:rsidR="00977281" w:rsidRDefault="00977281" w:rsidP="00977281">
      <w:pPr>
        <w:spacing w:after="0"/>
        <w:rPr>
          <w:sz w:val="24"/>
          <w:szCs w:val="24"/>
        </w:rPr>
      </w:pPr>
    </w:p>
    <w:p w:rsidR="00977281" w:rsidRPr="001C16B9" w:rsidRDefault="00977281" w:rsidP="00977281">
      <w:pPr>
        <w:spacing w:after="0"/>
        <w:rPr>
          <w:sz w:val="24"/>
          <w:szCs w:val="24"/>
        </w:rPr>
      </w:pPr>
      <w:r>
        <w:rPr>
          <w:sz w:val="24"/>
          <w:szCs w:val="24"/>
        </w:rPr>
        <w:t>A large portion of the closing costs related to a Maryland statute requiring payment of transfer tax on sale of ownership interests of 80% or more of an entity.  The amount taxed was calculated based on the total value of the interests including property value, cash accounts, reserves, etc.  During the 2013 General Assembly session, the statute was amended to limit the amount taxed on sale of partner interests in LIHTC transactions to the actual cash payment to the exiting partner.</w:t>
      </w:r>
    </w:p>
    <w:p w:rsidR="00355541" w:rsidRDefault="00977281">
      <w:bookmarkStart w:id="0" w:name="_GoBack"/>
      <w:bookmarkEnd w:id="0"/>
    </w:p>
    <w:sectPr w:rsidR="003555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965A8"/>
    <w:multiLevelType w:val="hybridMultilevel"/>
    <w:tmpl w:val="388CE24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81"/>
    <w:rsid w:val="00043F8D"/>
    <w:rsid w:val="00977281"/>
    <w:rsid w:val="00FC4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2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2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2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Rase</dc:creator>
  <cp:lastModifiedBy>Nancy Rase</cp:lastModifiedBy>
  <cp:revision>1</cp:revision>
  <dcterms:created xsi:type="dcterms:W3CDTF">2014-06-05T00:22:00Z</dcterms:created>
  <dcterms:modified xsi:type="dcterms:W3CDTF">2014-06-05T00:24:00Z</dcterms:modified>
</cp:coreProperties>
</file>